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color w:val="1F3864"/>
          <w:sz w:val="32"/>
        </w:rPr>
        <w:t>REI GROUP</w:t>
      </w:r>
    </w:p>
    <w:p>
      <w:pPr>
        <w:jc w:val="center"/>
      </w:pPr>
      <w:r>
        <w:rPr>
          <w:b/>
          <w:i w:val="0"/>
          <w:sz w:val="24"/>
        </w:rPr>
        <w:t>Rental Application Qualifications</w:t>
      </w:r>
    </w:p>
    <w:p>
      <w:pPr>
        <w:spacing w:after="40"/>
        <w:jc w:val="center"/>
        <w:pBdr>
          <w:bottom w:val="single" w:sz="6" w:space="4" w:color="2E75B6"/>
        </w:pBdr>
      </w:pPr>
      <w:r>
        <w:rPr>
          <w:b w:val="0"/>
          <w:i/>
          <w:color w:val="595959"/>
          <w:sz w:val="18"/>
        </w:rPr>
        <w:t>Olathe, Kansas  |  Effective May 2026</w:t>
      </w:r>
    </w:p>
    <w:p>
      <w:pPr>
        <w:spacing w:after="40"/>
        <w:jc w:val="center"/>
      </w:pPr>
      <w:r>
        <w:rPr>
          <w:b/>
          <w:i w:val="0"/>
          <w:color w:val="1F3864"/>
          <w:sz w:val="21"/>
        </w:rPr>
        <w:t>Before You Apply — Please Read</w:t>
      </w:r>
    </w:p>
    <w:p>
      <w:pPr>
        <w:spacing w:after="60"/>
      </w:pPr>
      <w:r>
        <w:rPr>
          <w:sz w:val="18"/>
        </w:rPr>
        <w:t>Please review the requirements below before paying the $50 application fee. Applications that do not meet these minimums will be declined and the fee is non-refundable.</w:t>
      </w:r>
    </w:p>
    <w:p>
      <w:pPr>
        <w:pStyle w:val="Heading1"/>
        <w:spacing w:before="120" w:after="40"/>
      </w:pPr>
      <w:r>
        <w:t>At-a-Glance Qualifications</w:t>
      </w:r>
    </w:p>
    <w:p>
      <w:pPr>
        <w:pStyle w:val="ListBullet"/>
        <w:spacing w:after="20"/>
      </w:pPr>
      <w:r>
        <w:rPr>
          <w:b/>
          <w:color w:val="C00000"/>
        </w:rPr>
        <w:t xml:space="preserve">Application. </w:t>
      </w:r>
      <w:r>
        <w:t>Each adult occupant age 18+ must submit a separate application and a $50 non-refundable application fee.</w:t>
      </w:r>
    </w:p>
    <w:p>
      <w:pPr>
        <w:pStyle w:val="ListBullet"/>
        <w:spacing w:after="20"/>
      </w:pPr>
      <w:r>
        <w:rPr>
          <w:b/>
          <w:color w:val="C00000"/>
        </w:rPr>
        <w:t xml:space="preserve">Identification &amp; SSN. </w:t>
      </w:r>
      <w:r>
        <w:t>Every adult applicant must present (a) an unexpired photo ID issued by a U.S. federal, state, tribal, or territorial authority (U.S. or state driver's license, state ID card, U.S. passport, U.S. military ID, U.S. Permanent Resident Card, or unexpired U.S. Employment Authorization Document), AND (b) a valid Social Security Number for credit and background screening. ITIN cannot be substituted for SSN. The same documentation is required of every adult applicant.</w:t>
      </w:r>
    </w:p>
    <w:p>
      <w:pPr>
        <w:pStyle w:val="ListBullet"/>
        <w:spacing w:after="20"/>
      </w:pPr>
      <w:r>
        <w:rPr>
          <w:b/>
          <w:color w:val="C00000"/>
        </w:rPr>
        <w:t xml:space="preserve">Income — 3x rent. </w:t>
      </w:r>
      <w:r>
        <w:t>Combined gross monthly income from all adult applicants must be at least 3x the monthly rent. All income must be U.S.-sourced and documented with U.S. pay stubs, U.S. bank statements, or a U.S. federal tax return. Section 8 / Housing Choice Vouchers are accepted (3x applies only to the tenant's portion).</w:t>
      </w:r>
    </w:p>
    <w:p>
      <w:pPr>
        <w:pStyle w:val="ListBullet"/>
        <w:spacing w:after="20"/>
      </w:pPr>
      <w:r>
        <w:rPr>
          <w:b/>
          <w:color w:val="C00000"/>
        </w:rPr>
        <w:t xml:space="preserve">Criminal. </w:t>
      </w:r>
      <w:r>
        <w:t>No active sex-offender registry status; no felony conviction in the past 7 years for violence, weapons, arson, or drug manufacture/distribution; no misdemeanor conviction in the past 3 years for violence or property damage over $1,000. Convictions only — arrests do not count. Applicants near these limits may submit mitigating information for review.</w:t>
      </w:r>
    </w:p>
    <w:p>
      <w:pPr>
        <w:pStyle w:val="ListBullet"/>
        <w:spacing w:after="20"/>
      </w:pPr>
      <w:r>
        <w:rPr>
          <w:b/>
        </w:rPr>
        <w:t xml:space="preserve">Credit. </w:t>
      </w:r>
      <w:r>
        <w:t>Credit is reviewed for overall payment history and housing-related collections (medical debt and student loans excluded). Limited or weaker credit may require an increased deposit (within K.S.A. 58-2550 limits) or a qualified guarantor. Active/undischarged bankruptcy is grounds for denial.</w:t>
      </w:r>
    </w:p>
    <w:p>
      <w:pPr>
        <w:pStyle w:val="ListBullet"/>
        <w:spacing w:after="20"/>
      </w:pPr>
      <w:r>
        <w:rPr>
          <w:b/>
        </w:rPr>
        <w:t xml:space="preserve">Rental history. </w:t>
      </w:r>
      <w:r>
        <w:t>Minimum 12 months of verifiable rental history from a non-relative landlord within the past 3 years (or documented homeownership). No outstanding balance owed to a prior landlord; no eviction judgment in the past 5 years.</w:t>
      </w:r>
    </w:p>
    <w:p>
      <w:pPr>
        <w:pStyle w:val="ListBullet"/>
        <w:spacing w:after="20"/>
      </w:pPr>
      <w:r>
        <w:rPr>
          <w:b/>
        </w:rPr>
        <w:t xml:space="preserve">Insurance — required. </w:t>
      </w:r>
      <w:r>
        <w:t>Renters insurance is required for every resident at all times during the tenancy. Residents must maintain a policy with personal-liability coverage of at least $100,000 and name REI Group as an additional interested party, OR enroll in REI Group's tenant liability insurance program offered through the building's master policy (where available) at the rate disclosed in the lease. Proof of coverage is required before keys are released and on each policy renewal.</w:t>
      </w:r>
    </w:p>
    <w:p>
      <w:pPr>
        <w:pStyle w:val="ListBullet"/>
        <w:spacing w:after="20"/>
      </w:pPr>
      <w:r>
        <w:rPr>
          <w:b/>
        </w:rPr>
        <w:t xml:space="preserve">Occupancy. </w:t>
      </w:r>
      <w:r>
        <w:t>Two persons per bedroom, with reasonable adjustments. A child under 1 is not counted.</w:t>
      </w:r>
    </w:p>
    <w:p>
      <w:pPr>
        <w:pStyle w:val="ListBullet"/>
        <w:spacing w:after="20"/>
      </w:pPr>
      <w:r>
        <w:rPr>
          <w:b/>
        </w:rPr>
        <w:t xml:space="preserve">Property rules. </w:t>
      </w:r>
      <w:r>
        <w:t>All properties are smoke-free (including vaping and cannabis). One off-street parking space per unit.</w:t>
      </w:r>
    </w:p>
    <w:p>
      <w:pPr>
        <w:pStyle w:val="ListBullet"/>
        <w:spacing w:after="20"/>
      </w:pPr>
      <w:r>
        <w:rPr>
          <w:b/>
        </w:rPr>
        <w:t xml:space="preserve">Pets. </w:t>
      </w:r>
      <w:r>
        <w:t>See the separate REI Group Pet Policy for breed, weight, and fee details. Assistance animals are not pets.</w:t>
      </w:r>
    </w:p>
    <w:p>
      <w:pPr>
        <w:spacing w:before="120" w:after="120"/>
        <w:shd w:val="clear" w:color="auto" w:fill="EAF3FB"/>
        <w:pBdr>
          <w:top w:val="single" w:sz="4" w:space="4" w:color="2E75B6"/>
          <w:bottom w:val="single" w:sz="4" w:space="4" w:color="2E75B6"/>
          <w:left w:val="single" w:sz="4" w:space="4" w:color="2E75B6"/>
          <w:right w:val="single" w:sz="4" w:space="4" w:color="2E75B6"/>
        </w:pBdr>
        <w:ind w:left="144" w:right="144"/>
      </w:pPr>
      <w:r>
        <w:t xml:space="preserve">If you do not meet one or more of the items above, please contact REI Group before applying to discuss whether a qualified guarantor or other accommodation may apply. </w:t>
      </w:r>
      <w:r>
        <w:rPr>
          <w:b/>
        </w:rPr>
        <w:t>Submitting an application with disqualifying information will not be approved and the application fee will not be refunded.</w:t>
      </w:r>
    </w:p>
    <w:p>
      <w:pPr>
        <w:pStyle w:val="Heading1"/>
        <w:spacing w:before="120" w:after="40"/>
      </w:pPr>
      <w:r>
        <w:t>Decisions &amp; Notices</w:t>
      </w:r>
    </w:p>
    <w:p>
      <w:pPr>
        <w:spacing w:after="60"/>
      </w:pPr>
      <w:r>
        <w:t>Each application receives one of three decisions, generally within 1–3 business days:</w:t>
      </w:r>
    </w:p>
    <w:p>
      <w:pPr>
        <w:pStyle w:val="ListBullet"/>
        <w:spacing w:after="20"/>
      </w:pPr>
      <w:r>
        <w:rPr>
          <w:b/>
        </w:rPr>
        <w:t xml:space="preserve">Accept. </w:t>
      </w:r>
      <w:r>
        <w:t>Approved at the standard security deposit.</w:t>
      </w:r>
    </w:p>
    <w:p>
      <w:pPr>
        <w:pStyle w:val="ListBullet"/>
        <w:spacing w:after="20"/>
      </w:pPr>
      <w:r>
        <w:rPr>
          <w:b/>
        </w:rPr>
        <w:t xml:space="preserve">Accept with conditions. </w:t>
      </w:r>
      <w:r>
        <w:t>Approved with conditions (e.g., guarantor, increased deposit within statutory limits, or required renters insurance).</w:t>
      </w:r>
    </w:p>
    <w:p>
      <w:pPr>
        <w:pStyle w:val="ListBullet"/>
        <w:spacing w:after="20"/>
      </w:pPr>
      <w:r>
        <w:rPr>
          <w:b/>
        </w:rPr>
        <w:t xml:space="preserve">Decline. </w:t>
      </w:r>
      <w:r>
        <w:t>Denied. Denied applicants receive written notice and, where required by the Fair Credit Reporting Act, an adverse-action notice identifying the screening provider and the applicant's right to dispute.</w:t>
      </w:r>
    </w:p>
    <w:p>
      <w:pPr>
        <w:pStyle w:val="Heading1"/>
        <w:spacing w:before="120" w:after="40"/>
      </w:pPr>
      <w:r>
        <w:t>Equal Housing Opportunity</w:t>
      </w:r>
    </w:p>
    <w:p>
      <w:pPr>
        <w:spacing w:after="60"/>
      </w:pPr>
      <w:r>
        <w:t>REI Group is an equal housing provider. We do not discriminate on the basis of race, color, religion, sex (including sexual orientation and gender identity), national origin, ancestry, disability, familial status, age, or any other characteristic protected by the federal Fair Housing Act, the Kansas Act Against Discrimination, or applicable Olathe and Johnson County ordinances. Applicants with disabilities may request a reasonable accommodation or modification at any time.</w:t>
      </w:r>
    </w:p>
    <w:p>
      <w:pPr>
        <w:pStyle w:val="Heading1"/>
        <w:spacing w:before="120" w:after="40"/>
      </w:pPr>
      <w:r>
        <w:t>Important Notice</w:t>
      </w:r>
    </w:p>
    <w:p>
      <w:pPr>
        <w:spacing w:after="60"/>
      </w:pPr>
      <w:r>
        <w:t>Incomplete, inaccurate, or falsified information is grounds for denial, or for termination of the tenancy if discovered after the lease has commenced. By signing the application, applicants authorize REI Group and its screening provider to verify all submitted information.</w:t>
      </w:r>
    </w:p>
    <w:p>
      <w:pPr>
        <w:pStyle w:val="Heading1"/>
        <w:spacing w:before="120" w:after="40"/>
      </w:pPr>
      <w:r>
        <w:t>Application &amp; Fees</w:t>
      </w:r>
    </w:p>
    <w:p>
      <w:pPr>
        <w:pStyle w:val="ListBullet"/>
        <w:spacing w:after="20"/>
      </w:pPr>
      <w:r>
        <w:rPr>
          <w:b/>
        </w:rPr>
        <w:t xml:space="preserve">Application. </w:t>
      </w:r>
      <w:r>
        <w:t>Separate signed application required from every adult occupant age 18+ (and any guarantor).</w:t>
      </w:r>
    </w:p>
    <w:p>
      <w:pPr>
        <w:pStyle w:val="ListBullet"/>
        <w:spacing w:after="20"/>
      </w:pPr>
      <w:r>
        <w:rPr>
          <w:b/>
        </w:rPr>
        <w:t xml:space="preserve">Application fee. </w:t>
      </w:r>
      <w:r>
        <w:t>$50 per adult applicant, non-refundable.</w:t>
      </w:r>
    </w:p>
    <w:p>
      <w:pPr>
        <w:pStyle w:val="ListBullet"/>
        <w:spacing w:after="20"/>
      </w:pPr>
      <w:r>
        <w:rPr>
          <w:b/>
        </w:rPr>
        <w:t xml:space="preserve">Administrative fee. </w:t>
      </w:r>
      <w:r>
        <w:t>$100, non-refundable, due on or before move-in.</w:t>
      </w:r>
    </w:p>
    <w:p>
      <w:pPr>
        <w:pStyle w:val="Heading1"/>
        <w:spacing w:before="120" w:after="40"/>
      </w:pPr>
      <w:r>
        <w:t>Identification &amp; Status to Contract</w:t>
      </w:r>
    </w:p>
    <w:p>
      <w:pPr>
        <w:spacing w:after="60"/>
      </w:pPr>
      <w:r>
        <w:t>Each adult applicant must present, at the time of application and applied uniformly to every adult applicant:</w:t>
      </w:r>
    </w:p>
    <w:p>
      <w:pPr>
        <w:pStyle w:val="ListBullet"/>
        <w:spacing w:after="20"/>
      </w:pPr>
      <w:r>
        <w:t>One (1) unexpired photo identification issued by a U.S. federal, state, tribal, or territorial authority. Acceptable documents: U.S. or state-issued driver's license, U.S. state-issued non-driver ID card, U.S. passport, U.S. military ID, U.S. Permanent Resident Card (Form I-551), or unexpired U.S. Employment Authorization Document (Form I-766).</w:t>
      </w:r>
    </w:p>
    <w:p>
      <w:pPr>
        <w:pStyle w:val="ListBullet"/>
        <w:spacing w:after="20"/>
      </w:pPr>
      <w:r>
        <w:t>A valid Social Security Number for credit and background screening. An Individual Taxpayer Identification Number (ITIN) is not an acceptable substitute for an SSN for screening purposes.</w:t>
      </w:r>
    </w:p>
    <w:p>
      <w:pPr>
        <w:spacing w:after="60"/>
      </w:pPr>
      <w:r>
        <w:t>These requirements are applied uniformly to every adult applicant without regard to race, color, national origin, ancestry, or any other protected characteristic.</w:t>
      </w:r>
    </w:p>
    <w:p>
      <w:pPr>
        <w:pStyle w:val="Heading1"/>
        <w:spacing w:before="120" w:after="40"/>
      </w:pPr>
      <w:r>
        <w:t>Income</w:t>
      </w:r>
    </w:p>
    <w:p>
      <w:pPr>
        <w:spacing w:after="60"/>
      </w:pPr>
      <w:r>
        <w:t>Combined verifiable gross monthly income from all adult applicants must be at least 3.0x the monthly rent. For applicants receiving a rental subsidy, the 3x requirement applies only to the tenant's portion of the rent. All income relied upon must be U.S.-sourced and documented with one or more of the following:</w:t>
      </w:r>
    </w:p>
    <w:p>
      <w:pPr>
        <w:pStyle w:val="ListBullet"/>
        <w:spacing w:after="20"/>
      </w:pPr>
      <w:r>
        <w:t>Two most recent U.S. pay stubs or an offer letter on U.S. company letterhead;</w:t>
      </w:r>
    </w:p>
    <w:p>
      <w:pPr>
        <w:pStyle w:val="ListBullet"/>
        <w:spacing w:after="20"/>
      </w:pPr>
      <w:r>
        <w:t>Two most recent U.S. bank statements;</w:t>
      </w:r>
    </w:p>
    <w:p>
      <w:pPr>
        <w:pStyle w:val="ListBullet"/>
        <w:spacing w:after="20"/>
      </w:pPr>
      <w:r>
        <w:t>Most recent U.S. federal tax return or six months of U.S. bank statements (self-employed applicants);</w:t>
      </w:r>
    </w:p>
    <w:p>
      <w:pPr>
        <w:pStyle w:val="ListBullet"/>
        <w:spacing w:after="20"/>
      </w:pPr>
      <w:r>
        <w:t>Award/benefit letters for Social Security, SSI, SSDI, VA, pension, child support, alimony, public assistance, housing voucher, scholarship, grant, or any other lawful source of income.</w:t>
      </w:r>
    </w:p>
    <w:p>
      <w:pPr>
        <w:pStyle w:val="Heading1"/>
        <w:spacing w:before="120" w:after="40"/>
      </w:pPr>
      <w:r>
        <w:t>Rental History</w:t>
      </w:r>
    </w:p>
    <w:p>
      <w:pPr>
        <w:spacing w:after="60"/>
      </w:pPr>
      <w:r>
        <w:t>Minimum 12 months of verifiable rental history from a non-relative landlord within the past 3 years, or documented homeownership. Unpaid balances to a prior landlord, a money judgment for unpaid rent, or an eviction judgment within the past 5 years may result in denial. First-time renters may be approved with a qualified guarantor.</w:t>
      </w:r>
    </w:p>
    <w:p>
      <w:pPr>
        <w:pStyle w:val="Heading1"/>
        <w:spacing w:before="120" w:after="40"/>
      </w:pPr>
      <w:r>
        <w:t>Credit</w:t>
      </w:r>
    </w:p>
    <w:p>
      <w:pPr>
        <w:spacing w:after="60"/>
      </w:pPr>
      <w:r>
        <w:t>Credit is evaluated on overall payment history and housing-related collections. Medical debt and student-loan balances are excluded. Applicants with limited credit or active collections may be approved with an increased security deposit (within K.S.A. 58-2550 limits) or a qualified guarantor. An undischarged or active bankruptcy may result in denial.</w:t>
      </w:r>
    </w:p>
    <w:p>
      <w:pPr>
        <w:pStyle w:val="Heading1"/>
        <w:spacing w:before="120" w:after="40"/>
      </w:pPr>
      <w:r>
        <w:t>Criminal Background</w:t>
      </w:r>
    </w:p>
    <w:p>
      <w:pPr>
        <w:spacing w:after="60"/>
      </w:pPr>
      <w:r>
        <w:t>REI Group considers only convictions and current pending charges — never arrests that did not result in conviction. An application will ordinarily be denied where the applicant has:</w:t>
      </w:r>
    </w:p>
    <w:p>
      <w:pPr>
        <w:pStyle w:val="ListBullet"/>
        <w:spacing w:after="20"/>
      </w:pPr>
      <w:r>
        <w:t>Active lifetime registration on a state or federal sex-offender registry;</w:t>
      </w:r>
    </w:p>
    <w:p>
      <w:pPr>
        <w:pStyle w:val="ListBullet"/>
        <w:spacing w:after="20"/>
      </w:pPr>
      <w:r>
        <w:t>Conviction within the prior 7 years for a felony involving violence, weapons, arson, or the manufacture or distribution of a controlled substance;</w:t>
      </w:r>
    </w:p>
    <w:p>
      <w:pPr>
        <w:pStyle w:val="ListBullet"/>
        <w:spacing w:after="20"/>
      </w:pPr>
      <w:r>
        <w:t>Conviction within the prior 3 years for a misdemeanor involving violence or property damage over $1,000.</w:t>
      </w:r>
    </w:p>
    <w:p>
      <w:pPr>
        <w:spacing w:after="60"/>
      </w:pPr>
      <w:r>
        <w:t>Applicants subject to denial under the look-back periods above will be given at least 15 days to submit mitigating information (nature and severity of the offense, time elapsed, evidence of rehabilitation, subsequent tenant history, etc.) for individualized review. Current illegal use of a controlled substance is grounds for denial; a history of past addiction, standing alone, is not.</w:t>
      </w:r>
    </w:p>
    <w:p>
      <w:pPr>
        <w:pStyle w:val="Heading1"/>
        <w:spacing w:before="120" w:after="40"/>
      </w:pPr>
      <w:r>
        <w:t>Occupancy</w:t>
      </w:r>
    </w:p>
    <w:p>
      <w:pPr>
        <w:spacing w:after="60"/>
      </w:pPr>
      <w:r>
        <w:t>Two persons per bedroom (HUD Keating Memorandum standard), with reasonable adjustments for bedroom size, child ages, and unit layout. A child under one year of age is not counted toward the occupancy limit.</w:t>
      </w:r>
    </w:p>
    <w:p>
      <w:pPr>
        <w:pStyle w:val="Heading1"/>
        <w:spacing w:before="120" w:after="40"/>
      </w:pPr>
      <w:r>
        <w:t>Guarantors</w:t>
      </w:r>
    </w:p>
    <w:p>
      <w:pPr>
        <w:spacing w:after="60"/>
      </w:pPr>
      <w:r>
        <w:t>A qualified guarantor may be required for applicants who do not meet income, credit, or rental-history standards but are otherwise qualified.</w:t>
      </w:r>
    </w:p>
    <w:p>
      <w:pPr>
        <w:pStyle w:val="ListBullet"/>
        <w:spacing w:after="20"/>
      </w:pPr>
      <w:r>
        <w:t>Submits a full application and pays the application fee.</w:t>
      </w:r>
    </w:p>
    <w:p>
      <w:pPr>
        <w:pStyle w:val="ListBullet"/>
        <w:spacing w:after="20"/>
      </w:pPr>
      <w:r>
        <w:t>Must show gross monthly income of at least 5x the monthly rent and meet the credit and criminal standards.</w:t>
      </w:r>
    </w:p>
    <w:p>
      <w:pPr>
        <w:pStyle w:val="ListBullet"/>
        <w:spacing w:after="20"/>
      </w:pPr>
      <w:r>
        <w:t>Only one guarantor per leased unit; an individual may guarantee only one REI Group lease at a time.</w:t>
      </w:r>
    </w:p>
    <w:p>
      <w:pPr>
        <w:pStyle w:val="ListBullet"/>
        <w:spacing w:after="20"/>
      </w:pPr>
      <w:r>
        <w:t>Use of a guarantor does not change the security deposit, which remains capped at one month's rent for unfurnished units and one and one-half months' rent for furnished units, per K.S.A. 58-2550.</w:t>
      </w:r>
    </w:p>
    <w:p>
      <w:pPr>
        <w:pStyle w:val="Heading1"/>
        <w:spacing w:before="120" w:after="40"/>
      </w:pPr>
      <w:r>
        <w:t>Security Deposit &amp; Move-In</w:t>
      </w:r>
    </w:p>
    <w:p>
      <w:pPr>
        <w:spacing w:after="60"/>
      </w:pPr>
      <w:r>
        <w:t>Security deposit is capped per K.S.A. 58-2550 at one month's rent (unfurnished) or 1.5 months (furnished), plus up to 0.5 month's rent additional for an approved pet. Within 5 business days of acceptance, the applicant must pay the deposit and any required move-in funds to hold the unit. All adult occupants must sign the lease and addenda before keys are released. Utilities (water, electricity, gas) must be in the resident's name on or before move-in.</w:t>
      </w:r>
    </w:p>
    <w:p>
      <w:pPr>
        <w:pStyle w:val="Heading1"/>
        <w:spacing w:before="120" w:after="40"/>
      </w:pPr>
      <w:r>
        <w:t>Smoking &amp; Parking</w:t>
      </w:r>
    </w:p>
    <w:p>
      <w:pPr>
        <w:spacing w:after="60"/>
      </w:pPr>
      <w:r>
        <w:t>All REI Group properties are smoke-free (tobacco, cannabis, and vaping) — interior, balconies, patios, common areas, and within 25 feet of any building entrance. Violations: $300 first incident, $500 second, lease termination thereafter. One off-street parking space per unit; additional spaces may be available.</w:t>
      </w:r>
    </w:p>
    <w:p>
      <w:pPr>
        <w:pStyle w:val="Heading1"/>
        <w:spacing w:before="120" w:after="40"/>
      </w:pPr>
      <w:r>
        <w:t>Insurance — Required</w:t>
      </w:r>
    </w:p>
    <w:p>
      <w:pPr>
        <w:spacing w:after="60"/>
      </w:pPr>
      <w:r>
        <w:t>Renters insurance is required for every resident throughout the tenancy. The resident must satisfy this requirement in one of two ways:</w:t>
      </w:r>
    </w:p>
    <w:p>
      <w:pPr>
        <w:pStyle w:val="ListBullet"/>
        <w:spacing w:after="20"/>
      </w:pPr>
      <w:r>
        <w:t>Maintain an individual renters insurance policy with personal-liability coverage of at least $100,000, and name REI Group as an additional interested party; OR</w:t>
      </w:r>
    </w:p>
    <w:p>
      <w:pPr>
        <w:pStyle w:val="ListBullet"/>
        <w:spacing w:after="20"/>
      </w:pPr>
      <w:r>
        <w:t>Where available, enroll in REI Group's tenant liability insurance program offered through the building's master policy, at the monthly rate disclosed in the lease.</w:t>
      </w:r>
    </w:p>
    <w:p>
      <w:pPr>
        <w:spacing w:after="60"/>
      </w:pPr>
      <w:r>
        <w:t>Proof of coverage must be provided before keys are released and at each policy renewal. A lapse in coverage is a material breach of the lease and may result in automatic enrollment in REI Group's master tenant liability program (where available), chargeback of the premium to the resident, and/or lease termination.</w:t>
      </w:r>
    </w:p>
    <w:p>
      <w:pPr>
        <w:pStyle w:val="Heading1"/>
        <w:spacing w:before="120" w:after="40"/>
      </w:pPr>
      <w:r>
        <w:t>Pets</w:t>
      </w:r>
    </w:p>
    <w:p>
      <w:pPr>
        <w:spacing w:after="60"/>
      </w:pPr>
      <w:r>
        <w:t>See the separate REI Group Pet Policy. Assistance animals (service and emotional-support animals) are not pets and are not subject to pet fees, deposits, or breed/weight restrictions; a reasonable-accommodation request and supporting documentation (where the disability is not readily apparent) may be required.</w:t>
      </w:r>
    </w:p>
    <w:p>
      <w:pPr>
        <w:spacing w:after="60"/>
      </w:pPr>
      <w:r>
        <w:t>These criteria are applied uniformly to every applicant. REI Group reserves the right to update these criteria; the version in effect on the date an application is submitted governs that application. Questions, including any request for a reasonable accommodation, should be directed to REI Group property management.</w:t>
      </w:r>
    </w:p>
    <w:sectPr w:rsidR="00FC693F" w:rsidRPr="0006063C" w:rsidSect="00034616">
      <w:headerReference w:type="default" r:id="rId9"/>
      <w:footerReference w:type="default" r:id="rId10"/>
      <w:pgSz w:w="12240" w:h="15840"/>
      <w:pgMar w:top="792" w:right="1152" w:bottom="79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F7F7F"/>
        <w:sz w:val="18"/>
      </w:rPr>
      <w:t xml:space="preserve">Page </w:t>
    </w:r>
    <w:r>
      <w:rPr>
        <w:color w:val="7F7F7F"/>
        <w:sz w:val="18"/>
      </w:rPr>
      <w:fldChar w:fldCharType="begin"/>
      <w:instrText xml:space="preserve"> PAGE </w:instrText>
      <w:fldChar w:fldCharType="end"/>
    </w:r>
    <w:r>
      <w:rPr>
        <w:color w:val="7F7F7F"/>
        <w:sz w:val="18"/>
      </w:rPr>
      <w:t xml:space="preserve"> of </w:t>
    </w:r>
    <w:r>
      <w:rPr>
        <w:color w:val="7F7F7F"/>
        <w:sz w:val="18"/>
      </w:rP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7F7F7F"/>
        <w:sz w:val="18"/>
      </w:rPr>
      <w:t>REI Group | Rental Qualifications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